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E9" w:rsidRPr="007F53E9" w:rsidRDefault="007F53E9" w:rsidP="007F53E9">
      <w:pPr>
        <w:pBdr>
          <w:bottom w:val="single" w:sz="6" w:space="0" w:color="DC0000"/>
        </w:pBdr>
        <w:shd w:val="clear" w:color="auto" w:fill="FFFFFF"/>
        <w:spacing w:before="240" w:after="240" w:line="240" w:lineRule="auto"/>
        <w:outlineLvl w:val="0"/>
        <w:rPr>
          <w:rFonts w:ascii="Tahoma" w:eastAsia="Times New Roman" w:hAnsi="Tahoma" w:cs="Tahoma"/>
          <w:b/>
          <w:bCs/>
          <w:color w:val="DC0000"/>
          <w:kern w:val="36"/>
          <w:sz w:val="29"/>
          <w:szCs w:val="29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DC0000"/>
          <w:kern w:val="36"/>
          <w:sz w:val="29"/>
          <w:szCs w:val="29"/>
          <w:lang w:eastAsia="cs-CZ"/>
        </w:rPr>
        <w:t>Tepelné zpracování</w:t>
      </w:r>
    </w:p>
    <w:p w:rsidR="007F53E9" w:rsidRPr="007F53E9" w:rsidRDefault="007F53E9" w:rsidP="007F53E9">
      <w:pPr>
        <w:shd w:val="clear" w:color="auto" w:fill="FFFFFF"/>
        <w:spacing w:before="240" w:after="168" w:line="240" w:lineRule="auto"/>
        <w:outlineLvl w:val="1"/>
        <w:rPr>
          <w:rFonts w:ascii="Tahoma" w:eastAsia="Times New Roman" w:hAnsi="Tahoma" w:cs="Tahoma"/>
          <w:b/>
          <w:bCs/>
          <w:color w:val="DC0000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DC0000"/>
          <w:lang w:eastAsia="cs-CZ"/>
        </w:rPr>
        <w:t>tepelné zpracování oceli</w:t>
      </w:r>
    </w:p>
    <w:p w:rsidR="007F53E9" w:rsidRPr="007F53E9" w:rsidRDefault="007F53E9" w:rsidP="007F53E9">
      <w:pPr>
        <w:shd w:val="clear" w:color="auto" w:fill="FFFFFF"/>
        <w:spacing w:before="150" w:after="150" w:line="36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Pod pojmem TEPELNÉ ZPRACOVÁNÍ rozumíme všechny postupy, při nichž předmět nebo materiál v tuhém stavu záměrně ohříváme a ochlazujeme určitým způsobem tak, aby získal požadované vlastnosti. Tepelným zpracováním ovlivňujeme mechanické vlastnosti, jako pevnost, tvrdost, tažnost, vrubovou houževnatost, odolnost proti opotřebení. V mnoha případech je s tím spojena změna struktury </w:t>
      </w:r>
      <w:proofErr w:type="gram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viz. potřeba</w:t>
      </w:r>
      <w:proofErr w:type="gram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dosažení rovnovážného stavu. Protože dosažení rovnovážného stavu při fázových změnách v tuhém stavu je zcela určováno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difůzí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bude pro výsledek tepelného zpracování rozhodující, jaký vliv bude mít průběh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difůze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Velikost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difůze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je ovlivněna jednak teplotou, a jednak dobou na takové teplotě, při níž ještě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difůze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může </w:t>
      </w:r>
      <w:proofErr w:type="gram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probíhat . A právě</w:t>
      </w:r>
      <w:proofErr w:type="gram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způsob ovlivnění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difůze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dělí tepelné zpracování do dvou základních skupin: </w:t>
      </w:r>
    </w:p>
    <w:p w:rsidR="007F53E9" w:rsidRPr="007F53E9" w:rsidRDefault="007F53E9" w:rsidP="007F5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Způsoby tepelného zpracování, které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difůzi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spíše podporují anebo ji brzdí jen málo: </w:t>
      </w:r>
      <w:r w:rsidRPr="007F53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ŽÍHÁNÍ</w:t>
      </w:r>
    </w:p>
    <w:p w:rsidR="007F53E9" w:rsidRPr="007F53E9" w:rsidRDefault="007F53E9" w:rsidP="007F5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Způsoby tepelného zpracování, které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difůzi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podstatně brzdí anebo úplně zamezují: </w:t>
      </w:r>
      <w:r w:rsidRPr="007F53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KALENÍ</w:t>
      </w: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</w:p>
    <w:p w:rsidR="007F53E9" w:rsidRPr="007F53E9" w:rsidRDefault="007F53E9" w:rsidP="007F53E9">
      <w:pPr>
        <w:shd w:val="clear" w:color="auto" w:fill="FFFFFF"/>
        <w:spacing w:before="240" w:after="168" w:line="240" w:lineRule="auto"/>
        <w:outlineLvl w:val="1"/>
        <w:rPr>
          <w:rFonts w:ascii="Tahoma" w:eastAsia="Times New Roman" w:hAnsi="Tahoma" w:cs="Tahoma"/>
          <w:b/>
          <w:bCs/>
          <w:color w:val="DC0000"/>
          <w:u w:val="single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DC0000"/>
          <w:highlight w:val="yellow"/>
          <w:u w:val="single"/>
          <w:lang w:eastAsia="cs-CZ"/>
        </w:rPr>
        <w:t>žíhání</w:t>
      </w:r>
    </w:p>
    <w:p w:rsidR="007F53E9" w:rsidRPr="007F53E9" w:rsidRDefault="007F53E9" w:rsidP="007F53E9">
      <w:pPr>
        <w:shd w:val="clear" w:color="auto" w:fill="FFFFFF"/>
        <w:spacing w:before="150" w:after="150" w:line="36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Podstatou žíhání je ohřev součásti na žíhací teplotu (pro různé materiály a způsoby žíhání různá), setrvání (výdrž) na této teplotě po určitou dobu a potom obvykle velmi pomalé ochlazování. U oceli na spojovací součásti je žíhací teplota těsně pod 721°C, kde zůstane materiál po několik hodin a následně pomalu ochlazován tak, aby došlo ke změknutí. </w:t>
      </w:r>
      <w:proofErr w:type="gram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Změní</w:t>
      </w:r>
      <w:proofErr w:type="gram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se tím struktura z tvrdého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lamelárního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perlitu na měkký globulární perlit čímž se </w:t>
      </w:r>
      <w:proofErr w:type="gram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stane</w:t>
      </w:r>
      <w:proofErr w:type="gram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struktura materiálu ideální pro tváření za studena. </w:t>
      </w:r>
    </w:p>
    <w:p w:rsidR="007F53E9" w:rsidRPr="007F53E9" w:rsidRDefault="007F53E9" w:rsidP="007F53E9">
      <w:pPr>
        <w:shd w:val="clear" w:color="auto" w:fill="FFFFFF"/>
        <w:spacing w:before="240" w:after="168" w:line="240" w:lineRule="auto"/>
        <w:outlineLvl w:val="1"/>
        <w:rPr>
          <w:rFonts w:ascii="Tahoma" w:eastAsia="Times New Roman" w:hAnsi="Tahoma" w:cs="Tahoma"/>
          <w:b/>
          <w:bCs/>
          <w:color w:val="DC0000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DC0000"/>
          <w:lang w:eastAsia="cs-CZ"/>
        </w:rPr>
        <w:t>druhy žíhání podle druhu žíhaného materiálu</w:t>
      </w:r>
    </w:p>
    <w:p w:rsidR="007F53E9" w:rsidRPr="007F53E9" w:rsidRDefault="007F53E9" w:rsidP="007F5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385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Žíhání ocelí </w:t>
      </w:r>
    </w:p>
    <w:p w:rsidR="007F53E9" w:rsidRPr="007F53E9" w:rsidRDefault="007F53E9" w:rsidP="007F5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385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Žíhání litin </w:t>
      </w:r>
    </w:p>
    <w:p w:rsidR="007F53E9" w:rsidRPr="007F53E9" w:rsidRDefault="007F53E9" w:rsidP="007F5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385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Žíhání neželezných kovů </w:t>
      </w:r>
    </w:p>
    <w:p w:rsidR="007F53E9" w:rsidRPr="007F53E9" w:rsidRDefault="007F53E9" w:rsidP="007F53E9">
      <w:pPr>
        <w:shd w:val="clear" w:color="auto" w:fill="FFFFFF"/>
        <w:spacing w:before="240" w:after="168" w:line="240" w:lineRule="auto"/>
        <w:outlineLvl w:val="1"/>
        <w:rPr>
          <w:rFonts w:ascii="Tahoma" w:eastAsia="Times New Roman" w:hAnsi="Tahoma" w:cs="Tahoma"/>
          <w:b/>
          <w:bCs/>
          <w:color w:val="DC0000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DC0000"/>
          <w:lang w:eastAsia="cs-CZ"/>
        </w:rPr>
        <w:t>přehled způsobů žíhání oceli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1"/>
        <w:gridCol w:w="2910"/>
        <w:gridCol w:w="3939"/>
      </w:tblGrid>
      <w:tr w:rsidR="007F53E9" w:rsidRPr="007F53E9" w:rsidTr="007F53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1A489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3E9" w:rsidRPr="007F53E9" w:rsidRDefault="007F53E9" w:rsidP="007F5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F5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  <w:t>Způsoby žíhání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1A489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3E9" w:rsidRPr="007F53E9" w:rsidRDefault="007F53E9" w:rsidP="007F5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F5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  <w:t>Způsob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1A489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3E9" w:rsidRPr="007F53E9" w:rsidRDefault="007F53E9" w:rsidP="007F5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F5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  <w:t>Žíhací teploty (°C)</w:t>
            </w:r>
          </w:p>
        </w:tc>
      </w:tr>
      <w:tr w:rsidR="007F53E9" w:rsidRPr="007F53E9" w:rsidTr="007F53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3E9" w:rsidRPr="007F53E9" w:rsidRDefault="007F53E9" w:rsidP="007F5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Bez </w:t>
            </w:r>
            <w:proofErr w:type="spellStart"/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překrystalizace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3E9" w:rsidRPr="007F53E9" w:rsidRDefault="007F53E9" w:rsidP="007F5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Naměkko</w:t>
            </w: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Rekrystalizační</w:t>
            </w: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Protivločkové</w:t>
            </w:r>
            <w:proofErr w:type="spellEnd"/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K snížení pnutí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3E9" w:rsidRPr="007F53E9" w:rsidRDefault="007F53E9" w:rsidP="007F5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680 až 790</w:t>
            </w: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550 až 700</w:t>
            </w: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650 až 700</w:t>
            </w: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500 až 650</w:t>
            </w:r>
          </w:p>
        </w:tc>
      </w:tr>
      <w:tr w:rsidR="007F53E9" w:rsidRPr="007F53E9" w:rsidTr="007F53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3E9" w:rsidRPr="007F53E9" w:rsidRDefault="007F53E9" w:rsidP="007F5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S </w:t>
            </w:r>
            <w:proofErr w:type="spellStart"/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překrystalizací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3E9" w:rsidRPr="007F53E9" w:rsidRDefault="007F53E9" w:rsidP="007F5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Homogenizační</w:t>
            </w: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Normalizační</w:t>
            </w: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Izotermické</w:t>
            </w: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Rozpouštěcí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3E9" w:rsidRPr="007F53E9" w:rsidRDefault="007F53E9" w:rsidP="007F5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1000 až 1300</w:t>
            </w: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750 až 950</w:t>
            </w: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700 až 850</w:t>
            </w: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 xml:space="preserve">nad 950 </w:t>
            </w:r>
          </w:p>
        </w:tc>
      </w:tr>
    </w:tbl>
    <w:p w:rsidR="007F53E9" w:rsidRPr="007F53E9" w:rsidRDefault="007F53E9" w:rsidP="007F53E9">
      <w:pPr>
        <w:shd w:val="clear" w:color="auto" w:fill="FFFFFF"/>
        <w:spacing w:before="240" w:after="168" w:line="240" w:lineRule="auto"/>
        <w:outlineLvl w:val="2"/>
        <w:rPr>
          <w:rFonts w:ascii="Tahoma" w:eastAsia="Times New Roman" w:hAnsi="Tahoma" w:cs="Tahoma"/>
          <w:b/>
          <w:bCs/>
          <w:color w:val="DC0000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DC0000"/>
          <w:lang w:eastAsia="cs-CZ"/>
        </w:rPr>
        <w:t xml:space="preserve">normalizační žíhání (s </w:t>
      </w:r>
      <w:proofErr w:type="spellStart"/>
      <w:r w:rsidRPr="007F53E9">
        <w:rPr>
          <w:rFonts w:ascii="Tahoma" w:eastAsia="Times New Roman" w:hAnsi="Tahoma" w:cs="Tahoma"/>
          <w:b/>
          <w:bCs/>
          <w:color w:val="DC0000"/>
          <w:lang w:eastAsia="cs-CZ"/>
        </w:rPr>
        <w:t>překrystalizací</w:t>
      </w:r>
      <w:proofErr w:type="spellEnd"/>
      <w:r w:rsidRPr="007F53E9">
        <w:rPr>
          <w:rFonts w:ascii="Tahoma" w:eastAsia="Times New Roman" w:hAnsi="Tahoma" w:cs="Tahoma"/>
          <w:b/>
          <w:bCs/>
          <w:color w:val="DC0000"/>
          <w:lang w:eastAsia="cs-CZ"/>
        </w:rPr>
        <w:t>)</w:t>
      </w:r>
    </w:p>
    <w:p w:rsidR="007F53E9" w:rsidRDefault="007F53E9" w:rsidP="007F53E9">
      <w:pPr>
        <w:shd w:val="clear" w:color="auto" w:fill="FFFFFF"/>
        <w:spacing w:before="150" w:after="150" w:line="36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Je prvním ze způsobů žíhání, při nichž dochází k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překrystalizaci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Zahřátím na teplotu 800-920°C s dostatečnou výdrží na této teplotě tak, aby se dosáhl homogenní austenit a následné pomalé ochlazování na klidném vzduchu. Výsledkem je tak poměrně jemnozrnná struktura s vyšší pevností a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zárověň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se tak odstraní nerovnoměrnosti struktury vzniklé předchozím tvářením. </w:t>
      </w:r>
    </w:p>
    <w:p w:rsidR="00B76915" w:rsidRDefault="00B76915" w:rsidP="007F53E9">
      <w:pPr>
        <w:shd w:val="clear" w:color="auto" w:fill="FFFFFF"/>
        <w:spacing w:before="150" w:after="150" w:line="36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B76915" w:rsidRPr="007F53E9" w:rsidRDefault="00B76915" w:rsidP="007F53E9">
      <w:pPr>
        <w:shd w:val="clear" w:color="auto" w:fill="FFFFFF"/>
        <w:spacing w:before="150" w:after="150" w:line="36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7F53E9" w:rsidRPr="007F53E9" w:rsidRDefault="007F53E9" w:rsidP="007F53E9">
      <w:pPr>
        <w:shd w:val="clear" w:color="auto" w:fill="FFFFFF"/>
        <w:spacing w:before="240" w:after="168" w:line="240" w:lineRule="auto"/>
        <w:outlineLvl w:val="2"/>
        <w:rPr>
          <w:rFonts w:ascii="Tahoma" w:eastAsia="Times New Roman" w:hAnsi="Tahoma" w:cs="Tahoma"/>
          <w:b/>
          <w:bCs/>
          <w:color w:val="DC0000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DC0000"/>
          <w:lang w:eastAsia="cs-CZ"/>
        </w:rPr>
        <w:lastRenderedPageBreak/>
        <w:t>žíhání ke snížení pnutí</w:t>
      </w:r>
    </w:p>
    <w:p w:rsidR="007F53E9" w:rsidRPr="007F53E9" w:rsidRDefault="007F53E9" w:rsidP="007F53E9">
      <w:pPr>
        <w:shd w:val="clear" w:color="auto" w:fill="FFFFFF"/>
        <w:spacing w:before="150" w:after="150" w:line="36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Používá se k snížení vnitřního pnutí, která vznikají ve výrobcích např. po obrábění, tváření za tepla při dokončovacích teplotách něco nad 721°C, po nerovnoměrném rychlém ochlazování na vzduchu apod. Po ohřevu na teplotu 500-600°C a výdrži na této teplotě (1 až 10hod. dle velikosti a tvaru součásti), následné pomalé ochlazování tak abychom dosáhly ideální strukturu materiálu pro tváření za studena. Toto tepelné zpracování se používá před výrobou za studena tvářených šroubů, vrutů pevnosti 4.6 a 5.6. </w:t>
      </w:r>
    </w:p>
    <w:p w:rsidR="007F53E9" w:rsidRPr="007F53E9" w:rsidRDefault="007F53E9" w:rsidP="007F53E9">
      <w:pPr>
        <w:shd w:val="clear" w:color="auto" w:fill="FFFFFF"/>
        <w:spacing w:before="240" w:after="168" w:line="240" w:lineRule="auto"/>
        <w:outlineLvl w:val="1"/>
        <w:rPr>
          <w:rFonts w:ascii="Tahoma" w:eastAsia="Times New Roman" w:hAnsi="Tahoma" w:cs="Tahoma"/>
          <w:b/>
          <w:bCs/>
          <w:color w:val="DC0000"/>
          <w:u w:val="single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DC0000"/>
          <w:highlight w:val="yellow"/>
          <w:u w:val="single"/>
          <w:lang w:eastAsia="cs-CZ"/>
        </w:rPr>
        <w:t>kalení a popouštění</w:t>
      </w:r>
    </w:p>
    <w:p w:rsidR="007F53E9" w:rsidRPr="007F53E9" w:rsidRDefault="007F53E9" w:rsidP="007F53E9">
      <w:pPr>
        <w:shd w:val="clear" w:color="auto" w:fill="FFFFFF"/>
        <w:spacing w:before="240" w:after="168" w:line="240" w:lineRule="auto"/>
        <w:outlineLvl w:val="2"/>
        <w:rPr>
          <w:rFonts w:ascii="Tahoma" w:eastAsia="Times New Roman" w:hAnsi="Tahoma" w:cs="Tahoma"/>
          <w:b/>
          <w:bCs/>
          <w:color w:val="DC0000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DC0000"/>
          <w:lang w:eastAsia="cs-CZ"/>
        </w:rPr>
        <w:t>kalení</w:t>
      </w:r>
    </w:p>
    <w:p w:rsidR="007F53E9" w:rsidRPr="007F53E9" w:rsidRDefault="007F53E9" w:rsidP="007F53E9">
      <w:pPr>
        <w:shd w:val="clear" w:color="auto" w:fill="FFFFFF"/>
        <w:spacing w:before="150" w:after="150" w:line="36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Účelem kalení je zvýšit tvrdost oceli. Je-li ocel s minimálním obsahem uhlíku 0,3% zahřátá na teplotu 800°C (záleží na typu oceli), podržena na této teplotě a následně ochlazena vodou, olejem, vzduchem, solnou lázní, (čímž se potlačí vznik feritu a perlitu) tak se zachovalý nestabilní austenit při teplotách pod 500°C přemění na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bainit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nebo tvrdý, ale velmi křehký martenzit. Dosažená pevnost záleží na procentu C (čím více, tím je ocel tvrdší - tvrdost martenzitu již mnoho nestoupá po překročení 0,8% C) a procentu martenzitu, který se po ochlazení kritickou rychlostí vytvoří v jádru materiálu. U velmi tenkých šroubů z nelegované oceli bude kritická teplota dosažena i v jádru. Problém je že martenzitové jádro nelze dostatečně rychle ochladit (dáno tepelnou vodivostí), proto je nutné přidat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legovací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prvky: bor, mangan, chróm, nikl, molybden, které podporují prokalení a umožní snížit kritickou rychlost ochlazení. Výběr správného kalícího prostředí má vliv na rychlost ochlazení na povrchu. Šrouby jsou kaleny hlavně v oleji (voda je sice efektivnější, ale může způsobit deformaci kalené součásti). </w:t>
      </w:r>
    </w:p>
    <w:p w:rsidR="007F53E9" w:rsidRPr="007F53E9" w:rsidRDefault="007F53E9" w:rsidP="007F53E9">
      <w:pPr>
        <w:shd w:val="clear" w:color="auto" w:fill="FFFFFF"/>
        <w:spacing w:before="240" w:after="168" w:line="240" w:lineRule="auto"/>
        <w:outlineLvl w:val="2"/>
        <w:rPr>
          <w:rFonts w:ascii="Tahoma" w:eastAsia="Times New Roman" w:hAnsi="Tahoma" w:cs="Tahoma"/>
          <w:b/>
          <w:bCs/>
          <w:color w:val="DC0000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DC0000"/>
          <w:lang w:eastAsia="cs-CZ"/>
        </w:rPr>
        <w:t>popouštění</w:t>
      </w:r>
    </w:p>
    <w:p w:rsidR="007F53E9" w:rsidRPr="007F53E9" w:rsidRDefault="007F53E9" w:rsidP="007F53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5650244" cy="2276475"/>
            <wp:effectExtent l="0" t="0" r="7620" b="0"/>
            <wp:docPr id="18" name="Obrázek 18" descr="http://www.killich.cz/editor/filestore/Image/1_105812_popous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llich.cz/editor/filestore/Image/1_105812_popouste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167" cy="228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915" w:rsidRDefault="007F53E9" w:rsidP="007F53E9">
      <w:pPr>
        <w:shd w:val="clear" w:color="auto" w:fill="FFFFFF"/>
        <w:spacing w:before="150" w:after="150" w:line="36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Ocel zakalená na martenzitickou strukturu má značné vnitřní pnutí a kromě toho, že má velkou </w:t>
      </w:r>
      <w:proofErr w:type="gram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tvrdost je</w:t>
      </w:r>
      <w:proofErr w:type="gram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také velmi křehká. V tomto stavu je tedy použitelná jen zcela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vyjímečně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</w:p>
    <w:p w:rsidR="007F53E9" w:rsidRPr="007F53E9" w:rsidRDefault="007F53E9" w:rsidP="007F53E9">
      <w:pPr>
        <w:shd w:val="clear" w:color="auto" w:fill="FFFFFF"/>
        <w:spacing w:before="150" w:after="150" w:line="36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Aby se snížilo vnitřní pnutí, a tím i křehkost (popř. získání houževnaté struktury), je vhodné ocel po kalení popouštět. Je to ohřev na určitou popouštěcí teplotu. Pro popouštěcí teplotu do 200°C platí, že se sníží nepatrně </w:t>
      </w:r>
      <w:proofErr w:type="gram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pevnost avšak</w:t>
      </w:r>
      <w:proofErr w:type="gram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mnohem více se sníží křehkost. Při teplotě nad 200°C dochází k úplnému rozpadu martenzitu na ferit a cementit ve velmi jemné formě.</w:t>
      </w: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 xml:space="preserve">Tato struktura se vyznačuje pevností, vysokou odolností a houževnatostí. </w:t>
      </w:r>
    </w:p>
    <w:p w:rsidR="007F53E9" w:rsidRPr="007F53E9" w:rsidRDefault="007F53E9" w:rsidP="007F53E9">
      <w:pPr>
        <w:shd w:val="clear" w:color="auto" w:fill="FFFFFF"/>
        <w:spacing w:before="240" w:after="168" w:line="240" w:lineRule="auto"/>
        <w:outlineLvl w:val="1"/>
        <w:rPr>
          <w:rFonts w:ascii="Tahoma" w:eastAsia="Times New Roman" w:hAnsi="Tahoma" w:cs="Tahoma"/>
          <w:b/>
          <w:bCs/>
          <w:color w:val="DC0000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DC0000"/>
          <w:lang w:eastAsia="cs-CZ"/>
        </w:rPr>
        <w:t>kombinované kalení a popouštění</w:t>
      </w:r>
    </w:p>
    <w:p w:rsidR="007F53E9" w:rsidRDefault="007F53E9" w:rsidP="007F53E9">
      <w:pPr>
        <w:shd w:val="clear" w:color="auto" w:fill="FFFFFF"/>
        <w:spacing w:before="150" w:after="150" w:line="36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Probíhá za teplot od 340°C do 650°C tak, že následuje kombinovaně kalení a popouštění rychle za sebou, což je jedno z obvykle nejpoužívanějších tepelných zpracování u spojovacích materiálů. Optimálním výsledkem je dosažení vysoké pevnosti v tahu a dostatečné odolnost (tuhosti), aby tím spojovací člen lépe odolával vnějším silám. Proto jsou cestou kombinovaného kalení a popouštění tepelně upravovány taky šrouby pevnosti 8.8, 10.9, a 12.9. </w:t>
      </w:r>
    </w:p>
    <w:p w:rsidR="00B76915" w:rsidRDefault="00B76915" w:rsidP="007F53E9">
      <w:pPr>
        <w:shd w:val="clear" w:color="auto" w:fill="FFFFFF"/>
        <w:spacing w:before="150" w:after="150" w:line="36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B76915" w:rsidRDefault="00B76915" w:rsidP="007F53E9">
      <w:pPr>
        <w:shd w:val="clear" w:color="auto" w:fill="FFFFFF"/>
        <w:spacing w:before="150" w:after="150" w:line="36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B76915" w:rsidRPr="007F53E9" w:rsidRDefault="00B76915" w:rsidP="007F53E9">
      <w:pPr>
        <w:shd w:val="clear" w:color="auto" w:fill="FFFFFF"/>
        <w:spacing w:before="150" w:after="150" w:line="36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7F53E9" w:rsidRPr="007F53E9" w:rsidRDefault="007F53E9" w:rsidP="007F53E9">
      <w:pPr>
        <w:shd w:val="clear" w:color="auto" w:fill="FFFFFF"/>
        <w:spacing w:before="240" w:after="168" w:line="240" w:lineRule="auto"/>
        <w:outlineLvl w:val="1"/>
        <w:rPr>
          <w:rFonts w:ascii="Tahoma" w:eastAsia="Times New Roman" w:hAnsi="Tahoma" w:cs="Tahoma"/>
          <w:b/>
          <w:bCs/>
          <w:color w:val="DC0000"/>
          <w:u w:val="single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DC0000"/>
          <w:highlight w:val="yellow"/>
          <w:u w:val="single"/>
          <w:lang w:eastAsia="cs-CZ"/>
        </w:rPr>
        <w:t>povrchové tvrzení</w:t>
      </w:r>
    </w:p>
    <w:p w:rsidR="007F53E9" w:rsidRPr="007F53E9" w:rsidRDefault="007F53E9" w:rsidP="007F53E9">
      <w:pPr>
        <w:shd w:val="clear" w:color="auto" w:fill="FFFFFF"/>
        <w:spacing w:before="150" w:after="150" w:line="36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V předchozích způsobech tepelného zpracování šlo o to dosáhnout zušlechtěné oceli s velkou pevností a dobrou vrubovou houževnatostí (vysoce namáhané konstrukční součásti). Nebo jsme chtěli získat vysokou tvrdost při poměrně nízké houževnatosti (nástroje). Avšak v některých případech, zejména u konstrukčních součástí vystavených tření, požadujeme současně vysokou houževnatost a vysokou povrchovou tvrdost (viz. </w:t>
      </w:r>
      <w:proofErr w:type="gram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např.</w:t>
      </w:r>
      <w:proofErr w:type="gram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vruty). Chceme tedy získat na povrchu dobrou odolnost proti opotřebení a v jádře součásti velkou odolnost proti rázům. 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1515"/>
        <w:gridCol w:w="2230"/>
        <w:gridCol w:w="1871"/>
        <w:gridCol w:w="2969"/>
      </w:tblGrid>
      <w:tr w:rsidR="007F53E9" w:rsidRPr="007F53E9" w:rsidTr="007F53E9"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1A489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3E9" w:rsidRPr="007F53E9" w:rsidRDefault="007F53E9" w:rsidP="007F5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F5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  <w:t>Povrchové tvrzení</w:t>
            </w:r>
          </w:p>
        </w:tc>
      </w:tr>
      <w:tr w:rsidR="007F53E9" w:rsidRPr="007F53E9" w:rsidTr="007F53E9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3E9" w:rsidRPr="007F53E9" w:rsidRDefault="007F53E9" w:rsidP="007F5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Povrchové kalení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3E9" w:rsidRPr="007F53E9" w:rsidRDefault="007F53E9" w:rsidP="007F5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Chemicko-tepelné zpracování oceli</w:t>
            </w:r>
          </w:p>
        </w:tc>
      </w:tr>
      <w:tr w:rsidR="007F53E9" w:rsidRPr="007F53E9" w:rsidTr="007F53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3E9" w:rsidRPr="007F53E9" w:rsidRDefault="007F53E9" w:rsidP="007F5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plamenem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3E9" w:rsidRPr="007F53E9" w:rsidRDefault="007F53E9" w:rsidP="007F5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indukční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3E9" w:rsidRPr="007F53E9" w:rsidRDefault="007F53E9" w:rsidP="007F5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cementování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3E9" w:rsidRPr="007F53E9" w:rsidRDefault="007F53E9" w:rsidP="007F5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nitridování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3E9" w:rsidRPr="007F53E9" w:rsidRDefault="007F53E9" w:rsidP="007F5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F53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nitrocementování</w:t>
            </w:r>
            <w:proofErr w:type="spellEnd"/>
          </w:p>
        </w:tc>
      </w:tr>
    </w:tbl>
    <w:p w:rsidR="00B76915" w:rsidRDefault="00B76915" w:rsidP="007F53E9">
      <w:pPr>
        <w:shd w:val="clear" w:color="auto" w:fill="FFFFFF"/>
        <w:spacing w:before="240" w:after="168" w:line="240" w:lineRule="auto"/>
        <w:outlineLvl w:val="2"/>
        <w:rPr>
          <w:rFonts w:ascii="Tahoma" w:eastAsia="Times New Roman" w:hAnsi="Tahoma" w:cs="Tahoma"/>
          <w:b/>
          <w:bCs/>
          <w:color w:val="DC0000"/>
          <w:lang w:eastAsia="cs-CZ"/>
        </w:rPr>
      </w:pPr>
    </w:p>
    <w:p w:rsidR="007F53E9" w:rsidRPr="007F53E9" w:rsidRDefault="007F53E9" w:rsidP="007F53E9">
      <w:pPr>
        <w:shd w:val="clear" w:color="auto" w:fill="FFFFFF"/>
        <w:spacing w:before="240" w:after="168" w:line="240" w:lineRule="auto"/>
        <w:outlineLvl w:val="2"/>
        <w:rPr>
          <w:rFonts w:ascii="Tahoma" w:eastAsia="Times New Roman" w:hAnsi="Tahoma" w:cs="Tahoma"/>
          <w:b/>
          <w:bCs/>
          <w:color w:val="DC0000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DC0000"/>
          <w:lang w:eastAsia="cs-CZ"/>
        </w:rPr>
        <w:t>povrchové kalení</w:t>
      </w:r>
    </w:p>
    <w:p w:rsidR="007F53E9" w:rsidRPr="007F53E9" w:rsidRDefault="007F53E9" w:rsidP="007F53E9">
      <w:pPr>
        <w:shd w:val="clear" w:color="auto" w:fill="FFFFFF"/>
        <w:spacing w:before="150" w:after="150" w:line="36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Pro toto zpracování se hodí uhlíkové oceli s obsahem uhlíku mezi 0,45 až 0,60%, které jsou kalitelné již na značnou tvrdost. Oceli s takovým obsahem uhlíku se vyznačují vyhovující houževnatostí a pevností jádra zejména v těch případech, je-li součást před povrchovým kalením buď normalizačně vyžíhána, nebo zušlechtěna. Tzn., že jádro součásti, které není ovlivněno povrchovým kalením, si podrží vlastnosti předchozího tepelného zpracování. Podle způsobu ohřevu povrchové vrstvy na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austenizační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teplotu rozeznáváme povrchové kalení: </w:t>
      </w:r>
    </w:p>
    <w:p w:rsidR="007F53E9" w:rsidRPr="007F53E9" w:rsidRDefault="007F53E9" w:rsidP="007F5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7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plamenem:</w:t>
      </w: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  (většinou používány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kyslíkoacetylenové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hořáky, zakalená vrstva je &gt;2mm) </w:t>
      </w:r>
    </w:p>
    <w:p w:rsidR="007F53E9" w:rsidRPr="007F53E9" w:rsidRDefault="007F53E9" w:rsidP="007F5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7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indukční:</w:t>
      </w: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   povrchová vrstva je ohřívána proudy střední a vysoké frekvence pomocí induktoru (cívka o malém počtu závitů z měděné trubky, kterou protéká chladící voda. Prochází-li induktorem střídavý proud o určité frekvenci, vznikají indukcí střídavého magnetického pole v součásti vířivé proudy o stejné frekvenci, jimiž se součást zahřívá. Volbou frekvence lze ovlivnit hloubku prohřáté vrstvy. Je používáno pro speciální aplikace většinou pro tvrzení slabých míst. </w:t>
      </w:r>
    </w:p>
    <w:p w:rsidR="00B76915" w:rsidRDefault="00B76915" w:rsidP="007F53E9">
      <w:pPr>
        <w:shd w:val="clear" w:color="auto" w:fill="FFFFFF"/>
        <w:spacing w:before="240" w:after="168" w:line="240" w:lineRule="auto"/>
        <w:outlineLvl w:val="2"/>
        <w:rPr>
          <w:rFonts w:ascii="Tahoma" w:eastAsia="Times New Roman" w:hAnsi="Tahoma" w:cs="Tahoma"/>
          <w:b/>
          <w:bCs/>
          <w:color w:val="DC0000"/>
          <w:lang w:eastAsia="cs-CZ"/>
        </w:rPr>
      </w:pPr>
    </w:p>
    <w:p w:rsidR="007F53E9" w:rsidRDefault="007F53E9" w:rsidP="007F53E9">
      <w:pPr>
        <w:shd w:val="clear" w:color="auto" w:fill="FFFFFF"/>
        <w:spacing w:before="240" w:after="168" w:line="240" w:lineRule="auto"/>
        <w:outlineLvl w:val="2"/>
        <w:rPr>
          <w:rFonts w:ascii="Tahoma" w:eastAsia="Times New Roman" w:hAnsi="Tahoma" w:cs="Tahoma"/>
          <w:b/>
          <w:bCs/>
          <w:color w:val="DC0000"/>
          <w:u w:val="single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DC0000"/>
          <w:highlight w:val="yellow"/>
          <w:u w:val="single"/>
          <w:lang w:eastAsia="cs-CZ"/>
        </w:rPr>
        <w:t>chemicko-tepelné zpracování oceli</w:t>
      </w:r>
    </w:p>
    <w:p w:rsidR="00B76915" w:rsidRPr="007F53E9" w:rsidRDefault="00B76915" w:rsidP="007F53E9">
      <w:pPr>
        <w:shd w:val="clear" w:color="auto" w:fill="FFFFFF"/>
        <w:spacing w:before="240" w:after="168" w:line="240" w:lineRule="auto"/>
        <w:outlineLvl w:val="2"/>
        <w:rPr>
          <w:rFonts w:ascii="Tahoma" w:eastAsia="Times New Roman" w:hAnsi="Tahoma" w:cs="Tahoma"/>
          <w:b/>
          <w:bCs/>
          <w:color w:val="DC0000"/>
          <w:u w:val="single"/>
          <w:lang w:eastAsia="cs-CZ"/>
        </w:rPr>
      </w:pPr>
    </w:p>
    <w:p w:rsidR="007F53E9" w:rsidRPr="007F53E9" w:rsidRDefault="007F53E9" w:rsidP="007F53E9">
      <w:pPr>
        <w:shd w:val="clear" w:color="auto" w:fill="FFFFFF"/>
        <w:spacing w:before="150" w:after="150" w:line="36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Zahrnuje řadu způsobů zpracování, při nichž se sytí povrch ocelí různými prvky, aby se dosáhlo požadovaných vlastností např. žáruvzdornosti, korozivzdornost, odolnost proti opotřebení atd. </w:t>
      </w:r>
    </w:p>
    <w:p w:rsidR="007F53E9" w:rsidRPr="007F53E9" w:rsidRDefault="007F53E9" w:rsidP="007F53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7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Cementování:</w:t>
      </w: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nejpoužívanější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chem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-tep. způsob zpracování. Povrch předmětu z měkké oceli (s obsahem uhlíku max. 0,2%) je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přiněm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nasycován uhlíkem v pevném, kapalném či plynném prostředí nad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austenizační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teplotu (pouze austenit v sobě rozpouští uhlík) na obsah C 0,7- až 0,9%. Zakalením této vrstvy se dosáhne </w:t>
      </w: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 xml:space="preserve">vysoké tvrdosti, přičemž se zachová houževnatost jádra. Nauhličená vrstva bývá 0,5 až 1,5mm tlustá. </w:t>
      </w:r>
    </w:p>
    <w:p w:rsidR="007F53E9" w:rsidRPr="007F53E9" w:rsidRDefault="007F53E9" w:rsidP="007F53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7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F53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Nitridování:</w:t>
      </w: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sycení povrchu oceli dusíkem, který reaguje se železem a jinými úmyslně přidávanými prvky (hlavně Al a </w:t>
      </w:r>
      <w:proofErr w:type="spellStart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Cr</w:t>
      </w:r>
      <w:proofErr w:type="spellEnd"/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). Vytvářejí se tím tvrdé nitridy, které způsobují značné zvýšení tvrdosti. (probíhá při teplotě 500 až 600°C. </w:t>
      </w:r>
    </w:p>
    <w:p w:rsidR="007F53E9" w:rsidRPr="007F53E9" w:rsidRDefault="007F53E9" w:rsidP="007F53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7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spellStart"/>
      <w:r w:rsidRPr="007F53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Nitrocementování</w:t>
      </w:r>
      <w:proofErr w:type="spellEnd"/>
      <w:r w:rsidRPr="007F53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:</w:t>
      </w:r>
      <w:r w:rsidRPr="007F53E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je sycení povrchu uhlíkem a dusíkem současně v kyanidových solných lázních při teplotách 750 až 850°C, nebo v plynné atmosféře s přísadou čpavku při teplotách 800 až 880°C. Čím je teplota uhlíku vyšší, tím bude vyšší nasycení uhlíkem a naopak. Poté se součásti kalí do oleje, což snižuje pnutí. </w:t>
      </w:r>
    </w:p>
    <w:p w:rsidR="007F53E9" w:rsidRPr="007F53E9" w:rsidRDefault="007F53E9" w:rsidP="00B76915">
      <w:pPr>
        <w:shd w:val="clear" w:color="auto" w:fill="FFFFFF"/>
        <w:spacing w:before="150" w:after="150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bookmarkStart w:id="0" w:name="_GoBack"/>
      <w:r w:rsidRPr="007F53E9">
        <w:rPr>
          <w:rFonts w:ascii="Tahoma" w:eastAsia="Times New Roman" w:hAnsi="Tahoma" w:cs="Tahoma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7075170" cy="3085875"/>
            <wp:effectExtent l="0" t="0" r="0" b="635"/>
            <wp:docPr id="17" name="Obrázek 17" descr="http://www.killich.cz/editor/filestore/Image/1_105229_zih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llich.cz/editor/filestore/Image/1_105229_ziha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308" cy="309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53E9" w:rsidRPr="007F53E9" w:rsidSect="00B76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1271"/>
    <w:multiLevelType w:val="multilevel"/>
    <w:tmpl w:val="6A80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D1C04"/>
    <w:multiLevelType w:val="multilevel"/>
    <w:tmpl w:val="18E4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E7B8A"/>
    <w:multiLevelType w:val="multilevel"/>
    <w:tmpl w:val="671E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25CCD"/>
    <w:multiLevelType w:val="multilevel"/>
    <w:tmpl w:val="D2B6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B0754"/>
    <w:multiLevelType w:val="multilevel"/>
    <w:tmpl w:val="AAC4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43019"/>
    <w:multiLevelType w:val="multilevel"/>
    <w:tmpl w:val="C69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C67DA"/>
    <w:multiLevelType w:val="multilevel"/>
    <w:tmpl w:val="AE76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B09DA"/>
    <w:multiLevelType w:val="multilevel"/>
    <w:tmpl w:val="50DA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E9"/>
    <w:rsid w:val="007F53E9"/>
    <w:rsid w:val="00B76915"/>
    <w:rsid w:val="00F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99955-9CBE-42BF-9960-306C3ECD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53E9"/>
    <w:pPr>
      <w:pBdr>
        <w:bottom w:val="single" w:sz="6" w:space="0" w:color="DC0000"/>
      </w:pBd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color w:val="DC0000"/>
      <w:kern w:val="36"/>
      <w:sz w:val="38"/>
      <w:szCs w:val="3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53E9"/>
    <w:pPr>
      <w:spacing w:before="240" w:after="168" w:line="240" w:lineRule="auto"/>
      <w:outlineLvl w:val="1"/>
    </w:pPr>
    <w:rPr>
      <w:rFonts w:ascii="Times New Roman" w:eastAsia="Times New Roman" w:hAnsi="Times New Roman" w:cs="Times New Roman"/>
      <w:b/>
      <w:bCs/>
      <w:color w:val="DC0000"/>
      <w:sz w:val="29"/>
      <w:szCs w:val="29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F53E9"/>
    <w:pPr>
      <w:spacing w:before="240" w:after="168" w:line="240" w:lineRule="auto"/>
      <w:outlineLvl w:val="2"/>
    </w:pPr>
    <w:rPr>
      <w:rFonts w:ascii="Times New Roman" w:eastAsia="Times New Roman" w:hAnsi="Times New Roman" w:cs="Times New Roman"/>
      <w:b/>
      <w:bCs/>
      <w:color w:val="DC00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53E9"/>
    <w:rPr>
      <w:rFonts w:ascii="Times New Roman" w:eastAsia="Times New Roman" w:hAnsi="Times New Roman" w:cs="Times New Roman"/>
      <w:b/>
      <w:bCs/>
      <w:color w:val="DC0000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53E9"/>
    <w:rPr>
      <w:rFonts w:ascii="Times New Roman" w:eastAsia="Times New Roman" w:hAnsi="Times New Roman" w:cs="Times New Roman"/>
      <w:b/>
      <w:bCs/>
      <w:color w:val="DC0000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53E9"/>
    <w:rPr>
      <w:rFonts w:ascii="Times New Roman" w:eastAsia="Times New Roman" w:hAnsi="Times New Roman" w:cs="Times New Roman"/>
      <w:b/>
      <w:bCs/>
      <w:color w:val="DC0000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53E9"/>
    <w:rPr>
      <w:color w:val="1A4892"/>
      <w:u w:val="single"/>
    </w:rPr>
  </w:style>
  <w:style w:type="paragraph" w:styleId="Normlnweb">
    <w:name w:val="Normal (Web)"/>
    <w:basedOn w:val="Normln"/>
    <w:uiPriority w:val="99"/>
    <w:unhideWhenUsed/>
    <w:rsid w:val="007F53E9"/>
    <w:pPr>
      <w:spacing w:before="150" w:after="15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53E9"/>
    <w:rPr>
      <w:b/>
      <w:bCs/>
    </w:rPr>
  </w:style>
  <w:style w:type="character" w:customStyle="1" w:styleId="higher">
    <w:name w:val="higher"/>
    <w:basedOn w:val="Standardnpsmoodstavce"/>
    <w:rsid w:val="007F53E9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F53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F53E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F53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F53E9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baec5a81-e4d6-4674-97f3-e9220f0136c1">
    <w:name w:val="baec5a81-e4d6-4674-97f3-e9220f0136c1"/>
    <w:basedOn w:val="Standardnpsmoodstavce"/>
    <w:rsid w:val="007F53E9"/>
  </w:style>
  <w:style w:type="character" w:customStyle="1" w:styleId="skypepnhprintcontainer1393959876">
    <w:name w:val="skype_pnh_print_container_1393959876"/>
    <w:basedOn w:val="Standardnpsmoodstavce"/>
    <w:rsid w:val="007F53E9"/>
  </w:style>
  <w:style w:type="character" w:customStyle="1" w:styleId="skypepnhcontainer">
    <w:name w:val="skype_pnh_container"/>
    <w:basedOn w:val="Standardnpsmoodstavce"/>
    <w:rsid w:val="007F53E9"/>
  </w:style>
  <w:style w:type="character" w:customStyle="1" w:styleId="skypepnhmark">
    <w:name w:val="skype_pnh_mark"/>
    <w:basedOn w:val="Standardnpsmoodstavce"/>
    <w:rsid w:val="007F53E9"/>
  </w:style>
  <w:style w:type="character" w:customStyle="1" w:styleId="skypepnhtextspan">
    <w:name w:val="skype_pnh_text_span"/>
    <w:basedOn w:val="Standardnpsmoodstavce"/>
    <w:rsid w:val="007F53E9"/>
  </w:style>
  <w:style w:type="character" w:customStyle="1" w:styleId="skypepnhfreetextspan">
    <w:name w:val="skype_pnh_free_text_span"/>
    <w:basedOn w:val="Standardnpsmoodstavce"/>
    <w:rsid w:val="007F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618">
              <w:marLeft w:val="3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500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4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495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145482">
              <w:marLeft w:val="-11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66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2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1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0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5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0302">
                  <w:marLeft w:val="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316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1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9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63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37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725506">
                                      <w:marLeft w:val="210"/>
                                      <w:marRight w:val="0"/>
                                      <w:marTop w:val="6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873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2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6120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1172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 Libor</dc:creator>
  <cp:keywords/>
  <dc:description/>
  <cp:lastModifiedBy>Benes Libor</cp:lastModifiedBy>
  <cp:revision>2</cp:revision>
  <dcterms:created xsi:type="dcterms:W3CDTF">2014-03-06T12:09:00Z</dcterms:created>
  <dcterms:modified xsi:type="dcterms:W3CDTF">2014-03-06T12:14:00Z</dcterms:modified>
</cp:coreProperties>
</file>